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129C8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  <w:t>济钢空天科创园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/>
        </w:rPr>
        <w:t>废旧物资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  <w:t>出售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/>
        </w:rPr>
        <w:t>公告</w:t>
      </w:r>
    </w:p>
    <w:p w14:paraId="3D179ADB">
      <w:pPr>
        <w:spacing w:line="580" w:lineRule="exact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</w:pPr>
    </w:p>
    <w:p w14:paraId="07905D74">
      <w:pPr>
        <w:spacing w:line="580" w:lineRule="exact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山东济钢空天产业发展有限公司对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科创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园区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废旧物资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进行网上公开出售（销售编号：2292250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2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00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），现将有关事项公告如下：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 xml:space="preserve">  </w:t>
      </w:r>
    </w:p>
    <w:p w14:paraId="1384C8BC">
      <w:pPr>
        <w:numPr>
          <w:ilvl w:val="0"/>
          <w:numId w:val="0"/>
        </w:numPr>
        <w:spacing w:line="580" w:lineRule="exact"/>
        <w:ind w:firstLine="643" w:firstLineChars="200"/>
        <w:jc w:val="left"/>
        <w:rPr>
          <w:rFonts w:hint="default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出售标的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  <w:t>及底价</w:t>
      </w:r>
    </w:p>
    <w:p w14:paraId="18167D77">
      <w:pPr>
        <w:spacing w:line="580" w:lineRule="exact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总重量约6.5吨。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明细如下：</w:t>
      </w:r>
    </w:p>
    <w:tbl>
      <w:tblPr>
        <w:tblStyle w:val="7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173"/>
        <w:gridCol w:w="722"/>
        <w:gridCol w:w="1370"/>
        <w:gridCol w:w="2347"/>
        <w:gridCol w:w="1250"/>
      </w:tblGrid>
      <w:tr w14:paraId="0D61E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0" w:type="auto"/>
            <w:noWrap w:val="0"/>
            <w:vAlign w:val="top"/>
          </w:tcPr>
          <w:p w14:paraId="4EEECEDB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  <w:noWrap w:val="0"/>
            <w:vAlign w:val="top"/>
          </w:tcPr>
          <w:p w14:paraId="5B0FBC9C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0" w:type="auto"/>
            <w:noWrap w:val="0"/>
            <w:vAlign w:val="top"/>
          </w:tcPr>
          <w:p w14:paraId="0F8BA34C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0" w:type="auto"/>
            <w:noWrap w:val="0"/>
            <w:vAlign w:val="top"/>
          </w:tcPr>
          <w:p w14:paraId="4EAE7785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重量(估算）</w:t>
            </w:r>
          </w:p>
        </w:tc>
        <w:tc>
          <w:tcPr>
            <w:tcW w:w="0" w:type="auto"/>
            <w:noWrap w:val="0"/>
            <w:vAlign w:val="top"/>
          </w:tcPr>
          <w:p w14:paraId="2EC123FB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主要规格型号</w:t>
            </w:r>
          </w:p>
        </w:tc>
        <w:tc>
          <w:tcPr>
            <w:tcW w:w="0" w:type="auto"/>
            <w:noWrap w:val="0"/>
            <w:vAlign w:val="top"/>
          </w:tcPr>
          <w:p w14:paraId="6161325D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底价</w:t>
            </w:r>
          </w:p>
        </w:tc>
      </w:tr>
      <w:tr w14:paraId="698A0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0" w:type="auto"/>
            <w:noWrap w:val="0"/>
            <w:vAlign w:val="top"/>
          </w:tcPr>
          <w:p w14:paraId="3738688B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top"/>
          </w:tcPr>
          <w:p w14:paraId="248D9E37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废低压柜</w:t>
            </w:r>
          </w:p>
        </w:tc>
        <w:tc>
          <w:tcPr>
            <w:tcW w:w="0" w:type="auto"/>
            <w:noWrap w:val="0"/>
            <w:vAlign w:val="top"/>
          </w:tcPr>
          <w:p w14:paraId="5DDBF7DA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4台</w:t>
            </w:r>
          </w:p>
        </w:tc>
        <w:tc>
          <w:tcPr>
            <w:tcW w:w="0" w:type="auto"/>
            <w:noWrap w:val="0"/>
            <w:vAlign w:val="top"/>
          </w:tcPr>
          <w:p w14:paraId="26F29283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1000kg</w:t>
            </w:r>
          </w:p>
        </w:tc>
        <w:tc>
          <w:tcPr>
            <w:tcW w:w="0" w:type="auto"/>
            <w:noWrap w:val="0"/>
            <w:vAlign w:val="top"/>
          </w:tcPr>
          <w:p w14:paraId="521569AE">
            <w:pPr>
              <w:jc w:val="both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GKDP  GKZ  GK1</w:t>
            </w:r>
          </w:p>
        </w:tc>
        <w:tc>
          <w:tcPr>
            <w:tcW w:w="0" w:type="auto"/>
            <w:noWrap w:val="0"/>
            <w:vAlign w:val="top"/>
          </w:tcPr>
          <w:p w14:paraId="460360AD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4000元/t</w:t>
            </w:r>
          </w:p>
        </w:tc>
      </w:tr>
      <w:tr w14:paraId="58A80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0" w:type="auto"/>
            <w:noWrap w:val="0"/>
            <w:vAlign w:val="top"/>
          </w:tcPr>
          <w:p w14:paraId="687CA7F6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top"/>
          </w:tcPr>
          <w:p w14:paraId="30937E5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废变压器</w:t>
            </w:r>
          </w:p>
        </w:tc>
        <w:tc>
          <w:tcPr>
            <w:tcW w:w="0" w:type="auto"/>
            <w:noWrap w:val="0"/>
            <w:vAlign w:val="top"/>
          </w:tcPr>
          <w:p w14:paraId="29AE9C4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1个</w:t>
            </w:r>
          </w:p>
        </w:tc>
        <w:tc>
          <w:tcPr>
            <w:tcW w:w="0" w:type="auto"/>
            <w:noWrap w:val="0"/>
            <w:vAlign w:val="top"/>
          </w:tcPr>
          <w:p w14:paraId="6B1D379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1500kg</w:t>
            </w:r>
          </w:p>
        </w:tc>
        <w:tc>
          <w:tcPr>
            <w:tcW w:w="0" w:type="auto"/>
            <w:noWrap w:val="0"/>
            <w:vAlign w:val="top"/>
          </w:tcPr>
          <w:p w14:paraId="5806BE8A">
            <w:pPr>
              <w:jc w:val="both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SL7-400   铝芯</w:t>
            </w:r>
          </w:p>
        </w:tc>
        <w:tc>
          <w:tcPr>
            <w:tcW w:w="0" w:type="auto"/>
            <w:noWrap w:val="0"/>
            <w:vAlign w:val="top"/>
          </w:tcPr>
          <w:p w14:paraId="6B66D297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3800元/t</w:t>
            </w:r>
          </w:p>
        </w:tc>
      </w:tr>
      <w:tr w14:paraId="21F64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0" w:type="auto"/>
            <w:noWrap w:val="0"/>
            <w:vAlign w:val="top"/>
          </w:tcPr>
          <w:p w14:paraId="1FC48D68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top"/>
          </w:tcPr>
          <w:p w14:paraId="1525DE0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废黄铜</w:t>
            </w:r>
          </w:p>
        </w:tc>
        <w:tc>
          <w:tcPr>
            <w:tcW w:w="0" w:type="auto"/>
            <w:noWrap w:val="0"/>
            <w:vAlign w:val="top"/>
          </w:tcPr>
          <w:p w14:paraId="13B6C82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1批</w:t>
            </w:r>
          </w:p>
        </w:tc>
        <w:tc>
          <w:tcPr>
            <w:tcW w:w="0" w:type="auto"/>
            <w:noWrap w:val="0"/>
            <w:vAlign w:val="top"/>
          </w:tcPr>
          <w:p w14:paraId="083E599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100kg</w:t>
            </w:r>
          </w:p>
        </w:tc>
        <w:tc>
          <w:tcPr>
            <w:tcW w:w="0" w:type="auto"/>
            <w:noWrap w:val="0"/>
            <w:vAlign w:val="top"/>
          </w:tcPr>
          <w:p w14:paraId="749A8886">
            <w:pPr>
              <w:ind w:firstLine="420" w:firstLineChars="200"/>
              <w:jc w:val="both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 w14:paraId="7840CF17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40000元/t</w:t>
            </w:r>
          </w:p>
        </w:tc>
      </w:tr>
      <w:tr w14:paraId="21D0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0" w:type="auto"/>
            <w:noWrap w:val="0"/>
            <w:vAlign w:val="top"/>
          </w:tcPr>
          <w:p w14:paraId="0D12A42E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top"/>
          </w:tcPr>
          <w:p w14:paraId="1F99B08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废电缆（铜芯）</w:t>
            </w:r>
          </w:p>
        </w:tc>
        <w:tc>
          <w:tcPr>
            <w:tcW w:w="0" w:type="auto"/>
            <w:noWrap w:val="0"/>
            <w:vAlign w:val="top"/>
          </w:tcPr>
          <w:p w14:paraId="0ACE17B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1批</w:t>
            </w:r>
          </w:p>
        </w:tc>
        <w:tc>
          <w:tcPr>
            <w:tcW w:w="0" w:type="auto"/>
            <w:noWrap w:val="0"/>
            <w:vAlign w:val="top"/>
          </w:tcPr>
          <w:p w14:paraId="36BCE38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100kg</w:t>
            </w:r>
          </w:p>
        </w:tc>
        <w:tc>
          <w:tcPr>
            <w:tcW w:w="0" w:type="auto"/>
            <w:noWrap w:val="0"/>
            <w:vAlign w:val="top"/>
          </w:tcPr>
          <w:p w14:paraId="224F8C86">
            <w:pPr>
              <w:jc w:val="both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杂乱低压电缆</w:t>
            </w:r>
          </w:p>
        </w:tc>
        <w:tc>
          <w:tcPr>
            <w:tcW w:w="0" w:type="auto"/>
            <w:noWrap w:val="0"/>
            <w:vAlign w:val="top"/>
          </w:tcPr>
          <w:p w14:paraId="2135A16D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28000元/t</w:t>
            </w:r>
          </w:p>
        </w:tc>
      </w:tr>
      <w:tr w14:paraId="4128A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0" w:type="auto"/>
            <w:noWrap w:val="0"/>
            <w:vAlign w:val="top"/>
          </w:tcPr>
          <w:p w14:paraId="334F14C2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top"/>
          </w:tcPr>
          <w:p w14:paraId="3D2DE7A7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废真空开关</w:t>
            </w:r>
          </w:p>
        </w:tc>
        <w:tc>
          <w:tcPr>
            <w:tcW w:w="0" w:type="auto"/>
            <w:noWrap w:val="0"/>
            <w:vAlign w:val="top"/>
          </w:tcPr>
          <w:p w14:paraId="0C0F799A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15个</w:t>
            </w:r>
          </w:p>
        </w:tc>
        <w:tc>
          <w:tcPr>
            <w:tcW w:w="0" w:type="auto"/>
            <w:noWrap w:val="0"/>
            <w:vAlign w:val="top"/>
          </w:tcPr>
          <w:p w14:paraId="28CD33F9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500kg</w:t>
            </w:r>
          </w:p>
        </w:tc>
        <w:tc>
          <w:tcPr>
            <w:tcW w:w="0" w:type="auto"/>
            <w:noWrap w:val="0"/>
            <w:vAlign w:val="top"/>
          </w:tcPr>
          <w:p w14:paraId="040E92A1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含少量铜</w:t>
            </w:r>
          </w:p>
        </w:tc>
        <w:tc>
          <w:tcPr>
            <w:tcW w:w="0" w:type="auto"/>
            <w:noWrap w:val="0"/>
            <w:vAlign w:val="top"/>
          </w:tcPr>
          <w:p w14:paraId="477B7BA1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3000元/t</w:t>
            </w:r>
          </w:p>
        </w:tc>
      </w:tr>
      <w:tr w14:paraId="121AA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0" w:type="auto"/>
            <w:noWrap w:val="0"/>
            <w:vAlign w:val="top"/>
          </w:tcPr>
          <w:p w14:paraId="01ED54D0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top"/>
          </w:tcPr>
          <w:p w14:paraId="20EA493D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废散热器</w:t>
            </w:r>
          </w:p>
        </w:tc>
        <w:tc>
          <w:tcPr>
            <w:tcW w:w="0" w:type="auto"/>
            <w:noWrap w:val="0"/>
            <w:vAlign w:val="top"/>
          </w:tcPr>
          <w:p w14:paraId="230CD3B5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4个</w:t>
            </w:r>
          </w:p>
        </w:tc>
        <w:tc>
          <w:tcPr>
            <w:tcW w:w="0" w:type="auto"/>
            <w:noWrap w:val="0"/>
            <w:vAlign w:val="top"/>
          </w:tcPr>
          <w:p w14:paraId="0A9228F6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100kg</w:t>
            </w:r>
          </w:p>
        </w:tc>
        <w:tc>
          <w:tcPr>
            <w:tcW w:w="0" w:type="auto"/>
            <w:noWrap w:val="0"/>
            <w:vAlign w:val="top"/>
          </w:tcPr>
          <w:p w14:paraId="6A605C61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铝</w:t>
            </w:r>
          </w:p>
        </w:tc>
        <w:tc>
          <w:tcPr>
            <w:tcW w:w="0" w:type="auto"/>
            <w:noWrap w:val="0"/>
            <w:vAlign w:val="top"/>
          </w:tcPr>
          <w:p w14:paraId="577AD3D7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10000元/t</w:t>
            </w:r>
          </w:p>
        </w:tc>
      </w:tr>
      <w:tr w14:paraId="40013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0" w:type="auto"/>
            <w:noWrap w:val="0"/>
            <w:vAlign w:val="top"/>
          </w:tcPr>
          <w:p w14:paraId="521E5408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top"/>
          </w:tcPr>
          <w:p w14:paraId="318DCB46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废铝排</w:t>
            </w:r>
          </w:p>
        </w:tc>
        <w:tc>
          <w:tcPr>
            <w:tcW w:w="0" w:type="auto"/>
            <w:noWrap w:val="0"/>
            <w:vAlign w:val="top"/>
          </w:tcPr>
          <w:p w14:paraId="21A472BB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1批</w:t>
            </w:r>
          </w:p>
        </w:tc>
        <w:tc>
          <w:tcPr>
            <w:tcW w:w="0" w:type="auto"/>
            <w:noWrap w:val="0"/>
            <w:vAlign w:val="top"/>
          </w:tcPr>
          <w:p w14:paraId="7ED7D387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30kg</w:t>
            </w:r>
          </w:p>
        </w:tc>
        <w:tc>
          <w:tcPr>
            <w:tcW w:w="0" w:type="auto"/>
            <w:noWrap w:val="0"/>
            <w:vAlign w:val="top"/>
          </w:tcPr>
          <w:p w14:paraId="57280E8C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铝</w:t>
            </w:r>
          </w:p>
        </w:tc>
        <w:tc>
          <w:tcPr>
            <w:tcW w:w="0" w:type="auto"/>
            <w:noWrap w:val="0"/>
            <w:vAlign w:val="top"/>
          </w:tcPr>
          <w:p w14:paraId="33E8B307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10000元/t</w:t>
            </w:r>
          </w:p>
        </w:tc>
      </w:tr>
      <w:tr w14:paraId="4628B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0" w:type="auto"/>
            <w:noWrap w:val="0"/>
            <w:vAlign w:val="top"/>
          </w:tcPr>
          <w:p w14:paraId="704DF64D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0" w:type="auto"/>
            <w:noWrap w:val="0"/>
            <w:vAlign w:val="top"/>
          </w:tcPr>
          <w:p w14:paraId="44BC31A6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废铝芯电缆</w:t>
            </w:r>
          </w:p>
        </w:tc>
        <w:tc>
          <w:tcPr>
            <w:tcW w:w="0" w:type="auto"/>
            <w:noWrap w:val="0"/>
            <w:vAlign w:val="top"/>
          </w:tcPr>
          <w:p w14:paraId="7A52A55D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1批</w:t>
            </w:r>
          </w:p>
        </w:tc>
        <w:tc>
          <w:tcPr>
            <w:tcW w:w="0" w:type="auto"/>
            <w:noWrap w:val="0"/>
            <w:vAlign w:val="top"/>
          </w:tcPr>
          <w:p w14:paraId="7D493FA9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500kg</w:t>
            </w:r>
          </w:p>
        </w:tc>
        <w:tc>
          <w:tcPr>
            <w:tcW w:w="0" w:type="auto"/>
            <w:noWrap w:val="0"/>
            <w:vAlign w:val="top"/>
          </w:tcPr>
          <w:p w14:paraId="4C3A2C91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铝</w:t>
            </w:r>
          </w:p>
        </w:tc>
        <w:tc>
          <w:tcPr>
            <w:tcW w:w="0" w:type="auto"/>
            <w:noWrap w:val="0"/>
            <w:vAlign w:val="top"/>
          </w:tcPr>
          <w:p w14:paraId="769F6AA8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4000元/t</w:t>
            </w:r>
          </w:p>
        </w:tc>
      </w:tr>
      <w:tr w14:paraId="17268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0" w:type="auto"/>
            <w:noWrap w:val="0"/>
            <w:vAlign w:val="top"/>
          </w:tcPr>
          <w:p w14:paraId="0D413E87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0" w:type="auto"/>
            <w:noWrap w:val="0"/>
            <w:vAlign w:val="top"/>
          </w:tcPr>
          <w:p w14:paraId="0E4C4F0A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报废变频器</w:t>
            </w:r>
          </w:p>
        </w:tc>
        <w:tc>
          <w:tcPr>
            <w:tcW w:w="0" w:type="auto"/>
            <w:noWrap w:val="0"/>
            <w:vAlign w:val="top"/>
          </w:tcPr>
          <w:p w14:paraId="102402F8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2台</w:t>
            </w:r>
          </w:p>
        </w:tc>
        <w:tc>
          <w:tcPr>
            <w:tcW w:w="0" w:type="auto"/>
            <w:noWrap w:val="0"/>
            <w:vAlign w:val="top"/>
          </w:tcPr>
          <w:p w14:paraId="75866EF7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200kg</w:t>
            </w:r>
          </w:p>
        </w:tc>
        <w:tc>
          <w:tcPr>
            <w:tcW w:w="0" w:type="auto"/>
            <w:noWrap w:val="0"/>
            <w:vAlign w:val="top"/>
          </w:tcPr>
          <w:p w14:paraId="1A9443DB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EM303B-250G/280P-3</w:t>
            </w:r>
          </w:p>
        </w:tc>
        <w:tc>
          <w:tcPr>
            <w:tcW w:w="0" w:type="auto"/>
            <w:noWrap w:val="0"/>
            <w:vAlign w:val="top"/>
          </w:tcPr>
          <w:p w14:paraId="4FC0A816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1500元/台</w:t>
            </w:r>
          </w:p>
        </w:tc>
      </w:tr>
      <w:tr w14:paraId="16B0B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0" w:type="auto"/>
            <w:noWrap w:val="0"/>
            <w:vAlign w:val="top"/>
          </w:tcPr>
          <w:p w14:paraId="4772B68D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  <w:noWrap w:val="0"/>
            <w:vAlign w:val="top"/>
          </w:tcPr>
          <w:p w14:paraId="09B98A4D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废电瓶</w:t>
            </w:r>
          </w:p>
        </w:tc>
        <w:tc>
          <w:tcPr>
            <w:tcW w:w="0" w:type="auto"/>
            <w:noWrap w:val="0"/>
            <w:vAlign w:val="top"/>
          </w:tcPr>
          <w:p w14:paraId="5E8646DC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3台</w:t>
            </w:r>
          </w:p>
        </w:tc>
        <w:tc>
          <w:tcPr>
            <w:tcW w:w="0" w:type="auto"/>
            <w:noWrap w:val="0"/>
            <w:vAlign w:val="top"/>
          </w:tcPr>
          <w:p w14:paraId="097FBBDB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200kg </w:t>
            </w:r>
          </w:p>
        </w:tc>
        <w:tc>
          <w:tcPr>
            <w:tcW w:w="0" w:type="auto"/>
            <w:noWrap w:val="0"/>
            <w:vAlign w:val="top"/>
          </w:tcPr>
          <w:p w14:paraId="2586DCBC">
            <w:pPr>
              <w:jc w:val="center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 w14:paraId="6D4D026D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5200元/t</w:t>
            </w:r>
          </w:p>
        </w:tc>
      </w:tr>
      <w:tr w14:paraId="6DDDD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0" w:type="auto"/>
            <w:noWrap w:val="0"/>
            <w:vAlign w:val="top"/>
          </w:tcPr>
          <w:p w14:paraId="73163CD3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0" w:type="auto"/>
            <w:noWrap w:val="0"/>
            <w:vAlign w:val="top"/>
          </w:tcPr>
          <w:p w14:paraId="5E0DD23B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废低压胶壳闸刀开关</w:t>
            </w:r>
          </w:p>
        </w:tc>
        <w:tc>
          <w:tcPr>
            <w:tcW w:w="0" w:type="auto"/>
            <w:noWrap w:val="0"/>
            <w:vAlign w:val="top"/>
          </w:tcPr>
          <w:p w14:paraId="3074AABE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30个</w:t>
            </w:r>
          </w:p>
        </w:tc>
        <w:tc>
          <w:tcPr>
            <w:tcW w:w="0" w:type="auto"/>
            <w:noWrap w:val="0"/>
            <w:vAlign w:val="top"/>
          </w:tcPr>
          <w:p w14:paraId="3FD14F5D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10kg</w:t>
            </w:r>
          </w:p>
        </w:tc>
        <w:tc>
          <w:tcPr>
            <w:tcW w:w="0" w:type="auto"/>
            <w:noWrap w:val="0"/>
            <w:vAlign w:val="top"/>
          </w:tcPr>
          <w:p w14:paraId="5222C02C">
            <w:pPr>
              <w:jc w:val="center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 w14:paraId="04FE5F8D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1000元/t</w:t>
            </w:r>
          </w:p>
        </w:tc>
      </w:tr>
      <w:tr w14:paraId="42BA2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0" w:type="auto"/>
            <w:noWrap w:val="0"/>
            <w:vAlign w:val="top"/>
          </w:tcPr>
          <w:p w14:paraId="2A1B9811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0" w:type="auto"/>
            <w:noWrap w:val="0"/>
            <w:vAlign w:val="top"/>
          </w:tcPr>
          <w:p w14:paraId="28004101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废高压隔离开关</w:t>
            </w:r>
          </w:p>
        </w:tc>
        <w:tc>
          <w:tcPr>
            <w:tcW w:w="0" w:type="auto"/>
            <w:noWrap w:val="0"/>
            <w:vAlign w:val="top"/>
          </w:tcPr>
          <w:p w14:paraId="57D2C705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7个</w:t>
            </w:r>
          </w:p>
        </w:tc>
        <w:tc>
          <w:tcPr>
            <w:tcW w:w="0" w:type="auto"/>
            <w:noWrap w:val="0"/>
            <w:vAlign w:val="top"/>
          </w:tcPr>
          <w:p w14:paraId="67DC9370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200kg</w:t>
            </w:r>
          </w:p>
        </w:tc>
        <w:tc>
          <w:tcPr>
            <w:tcW w:w="0" w:type="auto"/>
            <w:noWrap w:val="0"/>
            <w:vAlign w:val="top"/>
          </w:tcPr>
          <w:p w14:paraId="51A78B51">
            <w:pPr>
              <w:jc w:val="center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 w14:paraId="093C5736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3000元/t</w:t>
            </w:r>
          </w:p>
        </w:tc>
      </w:tr>
      <w:tr w14:paraId="48C1D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0" w:type="auto"/>
            <w:noWrap w:val="0"/>
            <w:vAlign w:val="top"/>
          </w:tcPr>
          <w:p w14:paraId="3BD0C8A1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0" w:type="auto"/>
            <w:noWrap w:val="0"/>
            <w:vAlign w:val="top"/>
          </w:tcPr>
          <w:p w14:paraId="3FE1F493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废加热机</w:t>
            </w:r>
          </w:p>
        </w:tc>
        <w:tc>
          <w:tcPr>
            <w:tcW w:w="0" w:type="auto"/>
            <w:noWrap w:val="0"/>
            <w:vAlign w:val="top"/>
          </w:tcPr>
          <w:p w14:paraId="7E2A70AE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1台</w:t>
            </w:r>
          </w:p>
        </w:tc>
        <w:tc>
          <w:tcPr>
            <w:tcW w:w="0" w:type="auto"/>
            <w:noWrap w:val="0"/>
            <w:vAlign w:val="top"/>
          </w:tcPr>
          <w:p w14:paraId="1ACD6442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500kg</w:t>
            </w:r>
          </w:p>
        </w:tc>
        <w:tc>
          <w:tcPr>
            <w:tcW w:w="0" w:type="auto"/>
            <w:noWrap w:val="0"/>
            <w:vAlign w:val="top"/>
          </w:tcPr>
          <w:p w14:paraId="060E0032">
            <w:pPr>
              <w:jc w:val="center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 w14:paraId="400EFB23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3000元/t</w:t>
            </w:r>
          </w:p>
        </w:tc>
      </w:tr>
      <w:tr w14:paraId="208EB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0" w:type="auto"/>
            <w:noWrap w:val="0"/>
            <w:vAlign w:val="top"/>
          </w:tcPr>
          <w:p w14:paraId="3F046D54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0" w:type="auto"/>
            <w:noWrap w:val="0"/>
            <w:vAlign w:val="top"/>
          </w:tcPr>
          <w:p w14:paraId="2AD5CEBF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废高压电容器</w:t>
            </w:r>
          </w:p>
        </w:tc>
        <w:tc>
          <w:tcPr>
            <w:tcW w:w="0" w:type="auto"/>
            <w:noWrap w:val="0"/>
            <w:vAlign w:val="top"/>
          </w:tcPr>
          <w:p w14:paraId="73979653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14个</w:t>
            </w:r>
          </w:p>
        </w:tc>
        <w:tc>
          <w:tcPr>
            <w:tcW w:w="0" w:type="auto"/>
            <w:noWrap w:val="0"/>
            <w:vAlign w:val="top"/>
          </w:tcPr>
          <w:p w14:paraId="285ADD83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300kg</w:t>
            </w:r>
          </w:p>
        </w:tc>
        <w:tc>
          <w:tcPr>
            <w:tcW w:w="0" w:type="auto"/>
            <w:noWrap w:val="0"/>
            <w:vAlign w:val="top"/>
          </w:tcPr>
          <w:p w14:paraId="66837F1E">
            <w:pPr>
              <w:jc w:val="center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 w14:paraId="5D386B80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1500元/t</w:t>
            </w:r>
          </w:p>
        </w:tc>
      </w:tr>
      <w:tr w14:paraId="001EC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0" w:type="auto"/>
            <w:noWrap w:val="0"/>
            <w:vAlign w:val="top"/>
          </w:tcPr>
          <w:p w14:paraId="269ACF50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0" w:type="auto"/>
            <w:noWrap w:val="0"/>
            <w:vAlign w:val="top"/>
          </w:tcPr>
          <w:p w14:paraId="123B8DD3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废塑料管</w:t>
            </w:r>
          </w:p>
        </w:tc>
        <w:tc>
          <w:tcPr>
            <w:tcW w:w="0" w:type="auto"/>
            <w:noWrap w:val="0"/>
            <w:vAlign w:val="top"/>
          </w:tcPr>
          <w:p w14:paraId="6FF3EEFC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1批</w:t>
            </w:r>
          </w:p>
        </w:tc>
        <w:tc>
          <w:tcPr>
            <w:tcW w:w="0" w:type="auto"/>
            <w:noWrap w:val="0"/>
            <w:vAlign w:val="top"/>
          </w:tcPr>
          <w:p w14:paraId="2CF0CA84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1500kg</w:t>
            </w:r>
          </w:p>
        </w:tc>
        <w:tc>
          <w:tcPr>
            <w:tcW w:w="0" w:type="auto"/>
            <w:noWrap w:val="0"/>
            <w:vAlign w:val="top"/>
          </w:tcPr>
          <w:p w14:paraId="2D5BB482">
            <w:pPr>
              <w:jc w:val="center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 w14:paraId="07008DCA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800元/t</w:t>
            </w:r>
          </w:p>
        </w:tc>
      </w:tr>
    </w:tbl>
    <w:p w14:paraId="72CDC4B0">
      <w:pPr>
        <w:spacing w:line="580" w:lineRule="exact"/>
        <w:ind w:firstLine="643" w:firstLineChars="200"/>
        <w:jc w:val="left"/>
        <w:rPr>
          <w:rFonts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二、相关内容</w:t>
      </w:r>
    </w:p>
    <w:p w14:paraId="6FD6C8D7">
      <w:pPr>
        <w:spacing w:line="580" w:lineRule="exact"/>
        <w:ind w:firstLine="640" w:firstLineChars="200"/>
        <w:jc w:val="left"/>
        <w:rPr>
          <w:rFonts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标的位置：济南市历城区王舍人街道工业北路矿源路9号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济钢空天科创园区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。</w:t>
      </w:r>
    </w:p>
    <w:p w14:paraId="2292D049">
      <w:pPr>
        <w:spacing w:line="580" w:lineRule="exact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2、本次出售的废旧物资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重量仅供参考，不作为提货及结算依据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双方结算以实际出库过磅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为准，废旧物资在科创园区现场称重。购方先以最终成交价格按预估标的数量全额支付预付货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款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预付货款以银行转账方式支付到出售方指定账户。最终货款金额以实际出库过磅为准，多退少补。如最终称重计量高于预估标的，对于超出部分，购方需在出厂前每车提前预交5万元货款，方可提货。如最终称重计量不足预估标的，出售方将在七个工作日内将多余款项无息退还。</w:t>
      </w:r>
    </w:p>
    <w:p w14:paraId="69A97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3、计量结算以出售方指定的地磅为准，购方在确定进厂前提前通知出售方，在双方均在场的情况下确定车皮和物资净重。</w:t>
      </w:r>
    </w:p>
    <w:p w14:paraId="0BF0D99E"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4、购方在接到中标通知2天内，需主动联系出售方，签订买卖合同和安全、环保、消防协议，在确定进厂前一天，参加出售方组织的安全告知、安全技术交底等相关安全教育培训，各项考核符合要求后再进厂装货。购方服从出售方现场管理，不得挑拣，不得拉运与本次竞价出售无关的物资，否则终止销售合同。</w:t>
      </w:r>
    </w:p>
    <w:p w14:paraId="685C0735">
      <w:pPr>
        <w:spacing w:line="580" w:lineRule="exact"/>
        <w:ind w:firstLine="643" w:firstLineChars="200"/>
        <w:jc w:val="left"/>
        <w:rPr>
          <w:rFonts w:ascii="宋体" w:hAnsi="宋体" w:eastAsia="宋体" w:cs="宋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三、报名条件</w:t>
      </w:r>
    </w:p>
    <w:p w14:paraId="01B56D4C">
      <w:pPr>
        <w:spacing w:line="580" w:lineRule="exact"/>
        <w:ind w:firstLine="640" w:firstLineChars="200"/>
        <w:jc w:val="left"/>
        <w:rPr>
          <w:rFonts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中华人民共和国境内法人组织和自然人均可参加报名。</w:t>
      </w:r>
    </w:p>
    <w:p w14:paraId="102A10B6">
      <w:pPr>
        <w:spacing w:line="580" w:lineRule="exact"/>
        <w:ind w:firstLine="640" w:firstLineChars="200"/>
        <w:jc w:val="left"/>
        <w:rPr>
          <w:rFonts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网上公告和报名时间：202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日至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30日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。</w:t>
      </w:r>
    </w:p>
    <w:p w14:paraId="1DCCAE20">
      <w:pPr>
        <w:ind w:firstLine="643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四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报价文件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zh-CN"/>
        </w:rPr>
        <w:t>的递交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  <w:t xml:space="preserve"> </w:t>
      </w:r>
    </w:p>
    <w:p w14:paraId="34E1F445">
      <w:pPr>
        <w:spacing w:line="580" w:lineRule="exact"/>
        <w:ind w:firstLine="640" w:firstLineChars="200"/>
        <w:jc w:val="left"/>
        <w:rPr>
          <w:rFonts w:hint="default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zh-CN"/>
        </w:rPr>
        <w:t>1、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报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zh-CN"/>
        </w:rPr>
        <w:t>价文件递交的截止时间：202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zh-CN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zh-CN"/>
        </w:rPr>
        <w:t>月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zh-CN"/>
        </w:rPr>
        <w:t>日1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zh-CN"/>
        </w:rPr>
        <w:t>时00分。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报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zh-CN"/>
        </w:rPr>
        <w:t>价文件递交的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邮箱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zh-CN"/>
        </w:rPr>
        <w:fldChar w:fldCharType="begin"/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zh-CN"/>
        </w:rPr>
        <w:instrText xml:space="preserve"> HYPERLINK "mailto:zhangwentao@jigangdt.com" </w:instrTex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zh-CN"/>
        </w:rPr>
        <w:fldChar w:fldCharType="separate"/>
      </w:r>
      <w:r>
        <w:rPr>
          <w:rStyle w:val="11"/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zhoutian</w:t>
      </w:r>
      <w:r>
        <w:rPr>
          <w:rStyle w:val="11"/>
          <w:rFonts w:hint="eastAsia" w:ascii="宋体" w:hAnsi="宋体" w:eastAsia="宋体" w:cs="宋体"/>
          <w:sz w:val="32"/>
          <w:szCs w:val="32"/>
          <w:highlight w:val="none"/>
          <w:lang w:val="zh-CN"/>
        </w:rPr>
        <w:t>@jigangdt.com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zh-CN"/>
        </w:rPr>
        <w:fldChar w:fldCharType="end"/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报价函见附件。</w:t>
      </w:r>
    </w:p>
    <w:p w14:paraId="5525636E">
      <w:pPr>
        <w:spacing w:line="580" w:lineRule="exact"/>
        <w:ind w:firstLine="640" w:firstLineChars="200"/>
        <w:jc w:val="left"/>
        <w:rPr>
          <w:rFonts w:ascii="宋体" w:hAnsi="宋体" w:eastAsia="宋体" w:cs="宋体"/>
          <w:color w:val="000000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zh-CN"/>
        </w:rPr>
        <w:t>2、逾期送达的、未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按要求方式递交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zh-CN"/>
        </w:rPr>
        <w:t>的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报价文件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zh-CN"/>
        </w:rPr>
        <w:t>将予以拒收。</w:t>
      </w:r>
    </w:p>
    <w:p w14:paraId="7682256D">
      <w:pPr>
        <w:spacing w:line="580" w:lineRule="exact"/>
        <w:ind w:firstLine="640" w:firstLineChars="200"/>
        <w:jc w:val="left"/>
        <w:rPr>
          <w:rFonts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3、根据报价文件，此次出售按照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价高者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得的原则确定竞得人。</w:t>
      </w:r>
    </w:p>
    <w:p w14:paraId="43303C96">
      <w:pPr>
        <w:ind w:firstLine="643" w:firstLineChars="200"/>
        <w:jc w:val="left"/>
        <w:rPr>
          <w:rFonts w:ascii="宋体" w:hAnsi="宋体" w:eastAsia="宋体" w:cs="宋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五、联系方式：</w:t>
      </w:r>
    </w:p>
    <w:p w14:paraId="7350CF4A">
      <w:pPr>
        <w:pStyle w:val="15"/>
        <w:snapToGrid w:val="0"/>
        <w:spacing w:line="360" w:lineRule="auto"/>
        <w:ind w:firstLine="632" w:firstLineChars="200"/>
        <w:rPr>
          <w:rFonts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业务联系人：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张先生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，联系电话：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13370559329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；</w:t>
      </w:r>
    </w:p>
    <w:p w14:paraId="38B4BB5D">
      <w:pPr>
        <w:pStyle w:val="15"/>
        <w:snapToGrid w:val="0"/>
        <w:spacing w:line="360" w:lineRule="auto"/>
        <w:ind w:firstLine="632" w:firstLineChars="200"/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商务联系人：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周先生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，联系电话：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18366183294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。</w:t>
      </w:r>
    </w:p>
    <w:p w14:paraId="1BAE5C57">
      <w:pPr>
        <w:pStyle w:val="15"/>
        <w:snapToGrid w:val="0"/>
        <w:spacing w:line="360" w:lineRule="auto"/>
        <w:ind w:firstLine="632" w:firstLineChars="200"/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</w:pPr>
    </w:p>
    <w:p w14:paraId="13954FFF">
      <w:pPr>
        <w:pStyle w:val="15"/>
        <w:snapToGrid w:val="0"/>
        <w:spacing w:line="360" w:lineRule="auto"/>
        <w:ind w:firstLine="632" w:firstLineChars="200"/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</w:pPr>
    </w:p>
    <w:p w14:paraId="2B0C8E9F">
      <w:pPr>
        <w:spacing w:line="580" w:lineRule="exact"/>
        <w:ind w:left="1000"/>
        <w:jc w:val="right"/>
        <w:rPr>
          <w:rFonts w:ascii="宋体" w:hAnsi="宋体" w:eastAsia="宋体" w:cs="宋体"/>
          <w:color w:val="000000"/>
          <w:sz w:val="32"/>
          <w:szCs w:val="32"/>
          <w:highlight w:val="none"/>
        </w:rPr>
      </w:pPr>
    </w:p>
    <w:p w14:paraId="23FF82C5">
      <w:pPr>
        <w:spacing w:line="580" w:lineRule="exact"/>
        <w:ind w:left="1000"/>
        <w:jc w:val="right"/>
        <w:rPr>
          <w:rFonts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 xml:space="preserve">山东济钢空天产业发展有限公司              </w:t>
      </w:r>
    </w:p>
    <w:p w14:paraId="6CBB84F7">
      <w:pPr>
        <w:spacing w:line="580" w:lineRule="exact"/>
        <w:ind w:left="1000"/>
        <w:jc w:val="center"/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 xml:space="preserve">                  202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日</w:t>
      </w:r>
    </w:p>
    <w:p w14:paraId="495C9946">
      <w:pPr>
        <w:spacing w:line="580" w:lineRule="exact"/>
        <w:ind w:left="1000"/>
        <w:jc w:val="center"/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</w:pPr>
    </w:p>
    <w:p w14:paraId="68989692">
      <w:pPr>
        <w:spacing w:line="580" w:lineRule="exact"/>
        <w:ind w:left="1000"/>
        <w:jc w:val="center"/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</w:pPr>
    </w:p>
    <w:p w14:paraId="650B22EF">
      <w:pPr>
        <w:spacing w:line="580" w:lineRule="exact"/>
        <w:ind w:left="1000"/>
        <w:jc w:val="center"/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</w:pPr>
    </w:p>
    <w:p w14:paraId="0964F32E">
      <w:pPr>
        <w:spacing w:line="580" w:lineRule="exact"/>
        <w:ind w:left="1000"/>
        <w:jc w:val="center"/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</w:pPr>
    </w:p>
    <w:p w14:paraId="407149A5">
      <w:pPr>
        <w:spacing w:line="580" w:lineRule="exact"/>
        <w:ind w:left="1000"/>
        <w:jc w:val="center"/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</w:pPr>
    </w:p>
    <w:p w14:paraId="77FD70E9">
      <w:pPr>
        <w:spacing w:line="580" w:lineRule="exact"/>
        <w:ind w:left="1000"/>
        <w:jc w:val="center"/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</w:pPr>
    </w:p>
    <w:p w14:paraId="5AD9374C">
      <w:pPr>
        <w:spacing w:line="580" w:lineRule="exact"/>
        <w:jc w:val="center"/>
        <w:rPr>
          <w:rFonts w:ascii="Arial Unicode MS" w:eastAsia="Arial Unicode MS"/>
          <w:sz w:val="44"/>
          <w:szCs w:val="44"/>
          <w:highlight w:val="none"/>
        </w:rPr>
      </w:pPr>
      <w:r>
        <w:rPr>
          <w:rFonts w:hint="eastAsia" w:ascii="Arial Unicode MS" w:eastAsia="Arial Unicode MS"/>
          <w:sz w:val="44"/>
          <w:szCs w:val="44"/>
          <w:highlight w:val="none"/>
        </w:rPr>
        <w:t>报价函</w:t>
      </w:r>
    </w:p>
    <w:tbl>
      <w:tblPr>
        <w:tblStyle w:val="6"/>
        <w:tblW w:w="8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641"/>
        <w:gridCol w:w="2136"/>
        <w:gridCol w:w="700"/>
        <w:gridCol w:w="1248"/>
        <w:gridCol w:w="1269"/>
        <w:gridCol w:w="1296"/>
        <w:gridCol w:w="716"/>
      </w:tblGrid>
      <w:tr w14:paraId="4E1C9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8D71B">
            <w:pPr>
              <w:pStyle w:val="2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出售标的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73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2BB36">
            <w:pPr>
              <w:widowControl/>
              <w:adjustRightInd w:val="0"/>
              <w:snapToGrid w:val="0"/>
              <w:spacing w:line="480" w:lineRule="exact"/>
              <w:ind w:firstLine="24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济钢空天科创园区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废旧物资</w:t>
            </w:r>
          </w:p>
        </w:tc>
      </w:tr>
      <w:tr w14:paraId="06603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35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</w:rPr>
              <w:t>内容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及要求</w:t>
            </w:r>
          </w:p>
        </w:tc>
        <w:tc>
          <w:tcPr>
            <w:tcW w:w="736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1C026">
            <w:p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废低压柜、废变压器、废黄铜、废电缆、废塑料管等物资约6.5吨。</w:t>
            </w:r>
          </w:p>
          <w:p w14:paraId="5BFF59EF">
            <w:p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备注：本次出售的废旧物资重量仅供参考，不作为提货及结算依据，双方结算以实际出库过磅为准，购方先以最终成交价格按预估数量全额支付预付货款，标的物的计量以出售方指定的计量磅秤为准。</w:t>
            </w:r>
          </w:p>
        </w:tc>
      </w:tr>
      <w:tr w14:paraId="3C5D1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5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41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报价（含税）</w:t>
            </w:r>
          </w:p>
          <w:p w14:paraId="68156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/>
                <w:highlight w:val="none"/>
                <w:lang w:val="en-US" w:eastAsia="zh-CN"/>
              </w:rPr>
            </w:pPr>
          </w:p>
          <w:p w14:paraId="0B62A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A2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96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0E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53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重量(估算）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4D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97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预估总价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A0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354F0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C5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B33DC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982E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废低压柜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0283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4台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DEC59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1000kg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4C0A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元/t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BE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840" w:firstLineChars="4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元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F9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1200" w:firstLineChars="5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1019E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86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692F4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4D869F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废变压器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6F27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1个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99C5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1500kg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FB61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元/t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D6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840" w:firstLineChars="4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元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2F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1200" w:firstLineChars="5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242C9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04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B5B61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AC41D2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废黄铜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63CF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1批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1DCD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100kg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DFD0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元/t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79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840" w:firstLineChars="4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元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B0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1200" w:firstLineChars="5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0C0F0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BF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5C3EEC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3EB40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废电缆（铜芯）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CEB1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1批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B2CB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100kg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9D30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元/t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C6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840" w:firstLineChars="4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元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16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1200" w:firstLineChars="5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45679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9D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C9E71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113B93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废真空开关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7A83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15个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AFD4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500kg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0447D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元/t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F3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840" w:firstLineChars="4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元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D8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1200" w:firstLineChars="5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75B4A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C7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97C31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76905E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废散热器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0922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4个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59E0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100kg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3719F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元/t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FC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840" w:firstLineChars="4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元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D2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1200" w:firstLineChars="5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5CBA6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7C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BEF2E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580285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废铝排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89F0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1批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617F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30kg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CD47D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元/t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8C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840" w:firstLineChars="4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元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B7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1200" w:firstLineChars="5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33F82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15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1E452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0C2D3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废铝芯电缆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B519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1批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779D8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500kg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4691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元/t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E2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840" w:firstLineChars="4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元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18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1200" w:firstLineChars="5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54990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65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04CF5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25E5D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报废变频器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1D1D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2台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EE1B6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200kg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0070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元/台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0F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840" w:firstLineChars="4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元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D6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1200" w:firstLineChars="5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5FAE3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DA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535E3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C6202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废电瓶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4F5A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3台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A030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200kg 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B3CE5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元/t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53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840" w:firstLineChars="4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元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AC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1200" w:firstLineChars="5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11299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8B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9E3A5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2D780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废低压胶壳闸刀开关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A417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30个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D029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10kg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ED50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元/t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67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840" w:firstLineChars="4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元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28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1200" w:firstLineChars="5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08977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77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1445A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7CECF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废高压隔离开关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4F8B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7个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7EBB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200kg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75EB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元/t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87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840" w:firstLineChars="4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元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F3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1200" w:firstLineChars="5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21382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9D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2339F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45BCF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废加热机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E4C6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1台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F3BD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500kg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440C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元/t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15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840" w:firstLineChars="4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元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E0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1200" w:firstLineChars="5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336D1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83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354F9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C201F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废高压电容器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8BAD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14个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48F8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300kg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1421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元/t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42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840" w:firstLineChars="4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元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40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1200" w:firstLineChars="5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22B2F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6E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C29F5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BE1E1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废塑料管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0205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1批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D62C1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1500kg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DFFF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元/t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57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840" w:firstLineChars="4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元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2A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1200" w:firstLineChars="5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3C0C4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EA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07CDCC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E93B31">
            <w:pPr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B1FDEA">
            <w:pPr>
              <w:jc w:val="center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456147">
            <w:pPr>
              <w:jc w:val="center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231D22">
            <w:pPr>
              <w:jc w:val="center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02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840" w:firstLineChars="4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元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9B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1200" w:firstLineChars="5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05D14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EC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highlight w:val="none"/>
              </w:rPr>
              <w:t>付款方式</w:t>
            </w:r>
          </w:p>
        </w:tc>
        <w:tc>
          <w:tcPr>
            <w:tcW w:w="736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13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合同签订5个日历天内，以最终成交价格按预估数量全额支付预付货款，最终按出库时出售方指定的计量磅秤计量为准，多退少补。付款方式：银行转账。</w:t>
            </w:r>
          </w:p>
        </w:tc>
      </w:tr>
      <w:tr w14:paraId="2E3C8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DD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highlight w:val="none"/>
              </w:rPr>
              <w:t>完成时间</w:t>
            </w:r>
          </w:p>
        </w:tc>
        <w:tc>
          <w:tcPr>
            <w:tcW w:w="736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9FE2A">
            <w:pPr>
              <w:widowControl/>
              <w:adjustRightInd w:val="0"/>
              <w:snapToGrid w:val="0"/>
              <w:spacing w:line="48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合同签订后10个日历天内完成清运。</w:t>
            </w:r>
          </w:p>
        </w:tc>
      </w:tr>
    </w:tbl>
    <w:p w14:paraId="450F2E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sz w:val="28"/>
          <w:szCs w:val="28"/>
          <w:highlight w:val="none"/>
        </w:rPr>
        <w:t>报价单位（盖公章）：</w:t>
      </w:r>
    </w:p>
    <w:p w14:paraId="2FD48A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sz w:val="28"/>
          <w:szCs w:val="28"/>
          <w:highlight w:val="none"/>
        </w:rPr>
        <w:t>联系人：</w:t>
      </w:r>
    </w:p>
    <w:p w14:paraId="48A9C3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sz w:val="28"/>
          <w:szCs w:val="28"/>
          <w:highlight w:val="none"/>
        </w:rPr>
        <w:t xml:space="preserve">电  话:  </w:t>
      </w:r>
    </w:p>
    <w:p w14:paraId="612235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2240" w:firstLineChars="800"/>
        <w:jc w:val="both"/>
        <w:textAlignment w:val="auto"/>
        <w:rPr>
          <w:rFonts w:hint="default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宋体" w:hAnsi="宋体" w:eastAsia="宋体"/>
          <w:sz w:val="28"/>
          <w:szCs w:val="28"/>
          <w:highlight w:val="none"/>
        </w:rPr>
        <w:t>时  间： 202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  <w:highlight w:val="none"/>
        </w:rPr>
        <w:t>年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EAD3882-B896-4C63-8897-F777F223FB8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16FAC25-C41A-4E99-88C3-154F7C4D6C3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DEB9C89-0AC0-4801-B7AF-B9C47B6A761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38A3CAC-DD84-4181-94ED-E7FA5E88A3B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5" w:fontKey="{6032DE1A-7738-4053-801E-8C22038847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NzVlZmM0MzI0YmI3Njk4OGY4YTU5OGI4MmQwODgifQ=="/>
  </w:docVars>
  <w:rsids>
    <w:rsidRoot w:val="001057DA"/>
    <w:rsid w:val="0003114D"/>
    <w:rsid w:val="000444B0"/>
    <w:rsid w:val="0007751D"/>
    <w:rsid w:val="0009432D"/>
    <w:rsid w:val="000D56A2"/>
    <w:rsid w:val="000E1C3E"/>
    <w:rsid w:val="001057DA"/>
    <w:rsid w:val="0012511A"/>
    <w:rsid w:val="00143AB7"/>
    <w:rsid w:val="001534A7"/>
    <w:rsid w:val="00230DDC"/>
    <w:rsid w:val="0026745E"/>
    <w:rsid w:val="002E6156"/>
    <w:rsid w:val="002F6AD7"/>
    <w:rsid w:val="00307411"/>
    <w:rsid w:val="00367646"/>
    <w:rsid w:val="003B64C5"/>
    <w:rsid w:val="00416485"/>
    <w:rsid w:val="00462024"/>
    <w:rsid w:val="0048716F"/>
    <w:rsid w:val="004A0994"/>
    <w:rsid w:val="004A5336"/>
    <w:rsid w:val="004C2DBD"/>
    <w:rsid w:val="004D4AEB"/>
    <w:rsid w:val="004D69EB"/>
    <w:rsid w:val="005954F4"/>
    <w:rsid w:val="005E7140"/>
    <w:rsid w:val="005F7C94"/>
    <w:rsid w:val="006445E3"/>
    <w:rsid w:val="006760B3"/>
    <w:rsid w:val="007449DB"/>
    <w:rsid w:val="00746206"/>
    <w:rsid w:val="007F17F4"/>
    <w:rsid w:val="007F525B"/>
    <w:rsid w:val="007F619A"/>
    <w:rsid w:val="00807258"/>
    <w:rsid w:val="008556AC"/>
    <w:rsid w:val="00872259"/>
    <w:rsid w:val="00891CDD"/>
    <w:rsid w:val="008F185F"/>
    <w:rsid w:val="00904BE7"/>
    <w:rsid w:val="0099221A"/>
    <w:rsid w:val="009A34A8"/>
    <w:rsid w:val="009A530F"/>
    <w:rsid w:val="009A696E"/>
    <w:rsid w:val="009F6276"/>
    <w:rsid w:val="00A01FAA"/>
    <w:rsid w:val="00A71449"/>
    <w:rsid w:val="00AE1A01"/>
    <w:rsid w:val="00AF78E6"/>
    <w:rsid w:val="00B123B9"/>
    <w:rsid w:val="00B50ACD"/>
    <w:rsid w:val="00B67EAC"/>
    <w:rsid w:val="00BB035E"/>
    <w:rsid w:val="00BD6F9B"/>
    <w:rsid w:val="00CF4C99"/>
    <w:rsid w:val="00CF6654"/>
    <w:rsid w:val="00D135FA"/>
    <w:rsid w:val="00D30152"/>
    <w:rsid w:val="00DA356F"/>
    <w:rsid w:val="00DB0D8E"/>
    <w:rsid w:val="00DC5AA8"/>
    <w:rsid w:val="00E11B01"/>
    <w:rsid w:val="00E12499"/>
    <w:rsid w:val="00E22FF4"/>
    <w:rsid w:val="00EE27E3"/>
    <w:rsid w:val="00EE6F75"/>
    <w:rsid w:val="00EF7F53"/>
    <w:rsid w:val="00F2516A"/>
    <w:rsid w:val="00F776B6"/>
    <w:rsid w:val="00F901CF"/>
    <w:rsid w:val="00FE7F62"/>
    <w:rsid w:val="01792276"/>
    <w:rsid w:val="01ED7AF4"/>
    <w:rsid w:val="01F12E07"/>
    <w:rsid w:val="03433852"/>
    <w:rsid w:val="03D7420D"/>
    <w:rsid w:val="04B86673"/>
    <w:rsid w:val="05D67331"/>
    <w:rsid w:val="066466EB"/>
    <w:rsid w:val="0721282E"/>
    <w:rsid w:val="07F45D5E"/>
    <w:rsid w:val="08337E60"/>
    <w:rsid w:val="083D5445"/>
    <w:rsid w:val="08CB0CA3"/>
    <w:rsid w:val="092061AF"/>
    <w:rsid w:val="09DB3168"/>
    <w:rsid w:val="0A002BCE"/>
    <w:rsid w:val="0A193C90"/>
    <w:rsid w:val="0AE20526"/>
    <w:rsid w:val="0B0A5387"/>
    <w:rsid w:val="0B923CFA"/>
    <w:rsid w:val="0BFD69CD"/>
    <w:rsid w:val="0C246169"/>
    <w:rsid w:val="0C9C0A6E"/>
    <w:rsid w:val="0CCC52F2"/>
    <w:rsid w:val="0E472453"/>
    <w:rsid w:val="0E4F4B9D"/>
    <w:rsid w:val="0F44355D"/>
    <w:rsid w:val="0F713C26"/>
    <w:rsid w:val="0FE73EE9"/>
    <w:rsid w:val="104135F9"/>
    <w:rsid w:val="104A4BA3"/>
    <w:rsid w:val="10A2678D"/>
    <w:rsid w:val="10E01E32"/>
    <w:rsid w:val="114710E3"/>
    <w:rsid w:val="11733C86"/>
    <w:rsid w:val="117D68B3"/>
    <w:rsid w:val="11CB1D14"/>
    <w:rsid w:val="12746F22"/>
    <w:rsid w:val="134A0672"/>
    <w:rsid w:val="13E470BD"/>
    <w:rsid w:val="13F60B9E"/>
    <w:rsid w:val="149502DA"/>
    <w:rsid w:val="14FA2AE1"/>
    <w:rsid w:val="15793835"/>
    <w:rsid w:val="1582093B"/>
    <w:rsid w:val="15AE7982"/>
    <w:rsid w:val="15F46BFE"/>
    <w:rsid w:val="16F2389F"/>
    <w:rsid w:val="1767603B"/>
    <w:rsid w:val="17C52D61"/>
    <w:rsid w:val="17CC3BEB"/>
    <w:rsid w:val="18664544"/>
    <w:rsid w:val="18C64FE3"/>
    <w:rsid w:val="190920C1"/>
    <w:rsid w:val="191838A9"/>
    <w:rsid w:val="197C42A8"/>
    <w:rsid w:val="19BB4521"/>
    <w:rsid w:val="1A00632E"/>
    <w:rsid w:val="1A472154"/>
    <w:rsid w:val="1A642D06"/>
    <w:rsid w:val="1A8567D8"/>
    <w:rsid w:val="1B1E4D15"/>
    <w:rsid w:val="1C7F3E27"/>
    <w:rsid w:val="1C9751CD"/>
    <w:rsid w:val="1CA863DF"/>
    <w:rsid w:val="1CF739BD"/>
    <w:rsid w:val="1D1B01D1"/>
    <w:rsid w:val="1D254B1B"/>
    <w:rsid w:val="1DD41F50"/>
    <w:rsid w:val="1F980D5B"/>
    <w:rsid w:val="20CF4C51"/>
    <w:rsid w:val="21110DC5"/>
    <w:rsid w:val="211663DC"/>
    <w:rsid w:val="212E5195"/>
    <w:rsid w:val="215F7D83"/>
    <w:rsid w:val="2201200D"/>
    <w:rsid w:val="22E9024C"/>
    <w:rsid w:val="22F45565"/>
    <w:rsid w:val="23C8464B"/>
    <w:rsid w:val="242F4313"/>
    <w:rsid w:val="24A21970"/>
    <w:rsid w:val="24F1163A"/>
    <w:rsid w:val="25F726EC"/>
    <w:rsid w:val="26FB67A0"/>
    <w:rsid w:val="275163C0"/>
    <w:rsid w:val="27E2788E"/>
    <w:rsid w:val="28DA3557"/>
    <w:rsid w:val="291853E7"/>
    <w:rsid w:val="29696AD2"/>
    <w:rsid w:val="2AF4778E"/>
    <w:rsid w:val="2BEF57F0"/>
    <w:rsid w:val="2CE51A84"/>
    <w:rsid w:val="2D9E1E24"/>
    <w:rsid w:val="2DDF2977"/>
    <w:rsid w:val="2E7035CF"/>
    <w:rsid w:val="2EE259ED"/>
    <w:rsid w:val="2F0E5ECE"/>
    <w:rsid w:val="2F6824F8"/>
    <w:rsid w:val="2FA5374C"/>
    <w:rsid w:val="30E16A06"/>
    <w:rsid w:val="31232B7B"/>
    <w:rsid w:val="313703D4"/>
    <w:rsid w:val="315D34C6"/>
    <w:rsid w:val="31810B1A"/>
    <w:rsid w:val="32103E32"/>
    <w:rsid w:val="32317519"/>
    <w:rsid w:val="323E39E4"/>
    <w:rsid w:val="326459CB"/>
    <w:rsid w:val="32B423F4"/>
    <w:rsid w:val="32F5021B"/>
    <w:rsid w:val="32F9140A"/>
    <w:rsid w:val="33947D60"/>
    <w:rsid w:val="33E04D53"/>
    <w:rsid w:val="33E5661E"/>
    <w:rsid w:val="341C3E67"/>
    <w:rsid w:val="345B6AD0"/>
    <w:rsid w:val="34BF0E0C"/>
    <w:rsid w:val="35144E35"/>
    <w:rsid w:val="35326B4F"/>
    <w:rsid w:val="356647A5"/>
    <w:rsid w:val="357C152E"/>
    <w:rsid w:val="3599165E"/>
    <w:rsid w:val="35D2691D"/>
    <w:rsid w:val="364538AE"/>
    <w:rsid w:val="369E2CA4"/>
    <w:rsid w:val="37985945"/>
    <w:rsid w:val="37BF30E5"/>
    <w:rsid w:val="37F30DCD"/>
    <w:rsid w:val="38742E3D"/>
    <w:rsid w:val="38BE13DB"/>
    <w:rsid w:val="391A2AB5"/>
    <w:rsid w:val="39706B79"/>
    <w:rsid w:val="39746FAD"/>
    <w:rsid w:val="3AB82612"/>
    <w:rsid w:val="3AF85078"/>
    <w:rsid w:val="3BE121EE"/>
    <w:rsid w:val="3D6D61E0"/>
    <w:rsid w:val="3E344619"/>
    <w:rsid w:val="3EA42E21"/>
    <w:rsid w:val="3F043BAC"/>
    <w:rsid w:val="3F2D72BA"/>
    <w:rsid w:val="3F525938"/>
    <w:rsid w:val="406B009A"/>
    <w:rsid w:val="40856F36"/>
    <w:rsid w:val="40F92521"/>
    <w:rsid w:val="4148771D"/>
    <w:rsid w:val="419A3B61"/>
    <w:rsid w:val="41D84068"/>
    <w:rsid w:val="42106A94"/>
    <w:rsid w:val="42C44DF1"/>
    <w:rsid w:val="43B92ECB"/>
    <w:rsid w:val="446C1E7B"/>
    <w:rsid w:val="4490144D"/>
    <w:rsid w:val="44C85ABB"/>
    <w:rsid w:val="44DB2C15"/>
    <w:rsid w:val="44E35B20"/>
    <w:rsid w:val="44F248E6"/>
    <w:rsid w:val="45500E7B"/>
    <w:rsid w:val="456652D4"/>
    <w:rsid w:val="46470C62"/>
    <w:rsid w:val="46E43980"/>
    <w:rsid w:val="474A6C5C"/>
    <w:rsid w:val="47C45875"/>
    <w:rsid w:val="47CF7161"/>
    <w:rsid w:val="496C5501"/>
    <w:rsid w:val="49A63EF1"/>
    <w:rsid w:val="49C52231"/>
    <w:rsid w:val="4A273284"/>
    <w:rsid w:val="4A887599"/>
    <w:rsid w:val="4C03562B"/>
    <w:rsid w:val="4C3719EC"/>
    <w:rsid w:val="4D8B1D7C"/>
    <w:rsid w:val="4D9C5D37"/>
    <w:rsid w:val="4DA43E9F"/>
    <w:rsid w:val="4DBA440F"/>
    <w:rsid w:val="4E516B22"/>
    <w:rsid w:val="4E81775A"/>
    <w:rsid w:val="4E870795"/>
    <w:rsid w:val="4F0F5121"/>
    <w:rsid w:val="4F336227"/>
    <w:rsid w:val="4F62401E"/>
    <w:rsid w:val="50175B49"/>
    <w:rsid w:val="51C71DD3"/>
    <w:rsid w:val="51E6623C"/>
    <w:rsid w:val="525F33C7"/>
    <w:rsid w:val="52743A40"/>
    <w:rsid w:val="5277467D"/>
    <w:rsid w:val="52E15F9A"/>
    <w:rsid w:val="52EC506B"/>
    <w:rsid w:val="536F7A4A"/>
    <w:rsid w:val="54E1091A"/>
    <w:rsid w:val="5504104B"/>
    <w:rsid w:val="557453AC"/>
    <w:rsid w:val="558754DC"/>
    <w:rsid w:val="56136A1C"/>
    <w:rsid w:val="562543F0"/>
    <w:rsid w:val="56462CE4"/>
    <w:rsid w:val="56B91708"/>
    <w:rsid w:val="576F626A"/>
    <w:rsid w:val="57A71560"/>
    <w:rsid w:val="57D367F9"/>
    <w:rsid w:val="5806097D"/>
    <w:rsid w:val="586C0A50"/>
    <w:rsid w:val="597E09E7"/>
    <w:rsid w:val="59913403"/>
    <w:rsid w:val="599B10B2"/>
    <w:rsid w:val="59B14A8D"/>
    <w:rsid w:val="59BD3F92"/>
    <w:rsid w:val="5A5B4884"/>
    <w:rsid w:val="5AAD1584"/>
    <w:rsid w:val="5B435A44"/>
    <w:rsid w:val="5CBF1585"/>
    <w:rsid w:val="5D5201C0"/>
    <w:rsid w:val="5D6D4FFA"/>
    <w:rsid w:val="5D7A14C5"/>
    <w:rsid w:val="5DEA7F80"/>
    <w:rsid w:val="5DFD637E"/>
    <w:rsid w:val="5EC529A7"/>
    <w:rsid w:val="5F5C5326"/>
    <w:rsid w:val="5F6E059E"/>
    <w:rsid w:val="5FD0361E"/>
    <w:rsid w:val="60285208"/>
    <w:rsid w:val="604E1113"/>
    <w:rsid w:val="607448F1"/>
    <w:rsid w:val="60AD570E"/>
    <w:rsid w:val="614822F9"/>
    <w:rsid w:val="617F354E"/>
    <w:rsid w:val="61BA27D8"/>
    <w:rsid w:val="62FF52EC"/>
    <w:rsid w:val="6300421A"/>
    <w:rsid w:val="633640E0"/>
    <w:rsid w:val="637C7D45"/>
    <w:rsid w:val="63967475"/>
    <w:rsid w:val="64754F8C"/>
    <w:rsid w:val="648B46CF"/>
    <w:rsid w:val="64903844"/>
    <w:rsid w:val="64F5074D"/>
    <w:rsid w:val="653F727C"/>
    <w:rsid w:val="65EE0CA2"/>
    <w:rsid w:val="6603696B"/>
    <w:rsid w:val="660B583D"/>
    <w:rsid w:val="66E300DB"/>
    <w:rsid w:val="674E7C4A"/>
    <w:rsid w:val="67694A84"/>
    <w:rsid w:val="67902011"/>
    <w:rsid w:val="67DE3EF8"/>
    <w:rsid w:val="680A1DAD"/>
    <w:rsid w:val="68D75C06"/>
    <w:rsid w:val="691E3600"/>
    <w:rsid w:val="692B5EEB"/>
    <w:rsid w:val="693C6FA1"/>
    <w:rsid w:val="6A6D5947"/>
    <w:rsid w:val="6A841BD5"/>
    <w:rsid w:val="6C6D2921"/>
    <w:rsid w:val="6C81017A"/>
    <w:rsid w:val="6C9C1653"/>
    <w:rsid w:val="6CCC3AA5"/>
    <w:rsid w:val="6E216EC3"/>
    <w:rsid w:val="6E5813AF"/>
    <w:rsid w:val="6EB34837"/>
    <w:rsid w:val="6F0D705F"/>
    <w:rsid w:val="6F651FD5"/>
    <w:rsid w:val="6F96218E"/>
    <w:rsid w:val="707149AA"/>
    <w:rsid w:val="709541F4"/>
    <w:rsid w:val="70A94143"/>
    <w:rsid w:val="70B0102E"/>
    <w:rsid w:val="71EB7FC8"/>
    <w:rsid w:val="720D1793"/>
    <w:rsid w:val="72435ED2"/>
    <w:rsid w:val="72700EF8"/>
    <w:rsid w:val="736B56E0"/>
    <w:rsid w:val="74C07CAE"/>
    <w:rsid w:val="74F811F5"/>
    <w:rsid w:val="7562602A"/>
    <w:rsid w:val="75D7705D"/>
    <w:rsid w:val="75DD70F5"/>
    <w:rsid w:val="75E62527"/>
    <w:rsid w:val="760D6F22"/>
    <w:rsid w:val="76F0487A"/>
    <w:rsid w:val="777F29FE"/>
    <w:rsid w:val="77D54920"/>
    <w:rsid w:val="783D4975"/>
    <w:rsid w:val="787E0A1A"/>
    <w:rsid w:val="79A4194C"/>
    <w:rsid w:val="79AD73C5"/>
    <w:rsid w:val="79B849D6"/>
    <w:rsid w:val="7AA529C8"/>
    <w:rsid w:val="7BFD3F26"/>
    <w:rsid w:val="7C23124E"/>
    <w:rsid w:val="7CCF0A8E"/>
    <w:rsid w:val="7D542DE0"/>
    <w:rsid w:val="7D957F29"/>
    <w:rsid w:val="7DC30EF9"/>
    <w:rsid w:val="7E10135E"/>
    <w:rsid w:val="7E1A3F8B"/>
    <w:rsid w:val="7E260B81"/>
    <w:rsid w:val="7E9C52E7"/>
    <w:rsid w:val="7EAD7C7E"/>
    <w:rsid w:val="7EEA05D8"/>
    <w:rsid w:val="7F11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/>
    </w:pPr>
    <w:rPr>
      <w:rFonts w:ascii="Arial" w:hAnsi="Arial"/>
      <w:sz w:val="24"/>
      <w:szCs w:val="20"/>
    </w:rPr>
  </w:style>
  <w:style w:type="paragraph" w:styleId="3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Emphasis"/>
    <w:basedOn w:val="8"/>
    <w:autoRedefine/>
    <w:qFormat/>
    <w:uiPriority w:val="20"/>
  </w:style>
  <w:style w:type="character" w:styleId="11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3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5">
    <w:name w:val="正文1"/>
    <w:basedOn w:val="1"/>
    <w:autoRedefine/>
    <w:qFormat/>
    <w:uiPriority w:val="0"/>
    <w:pPr>
      <w:adjustRightInd w:val="0"/>
      <w:spacing w:line="480" w:lineRule="exact"/>
      <w:textAlignment w:val="baseline"/>
    </w:pPr>
    <w:rPr>
      <w:rFonts w:ascii="Times New Roman" w:hAnsi="Times New Roman"/>
      <w:spacing w:val="-2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4</Pages>
  <Words>1438</Words>
  <Characters>1759</Characters>
  <Lines>6</Lines>
  <Paragraphs>1</Paragraphs>
  <TotalTime>11</TotalTime>
  <ScaleCrop>false</ScaleCrop>
  <LinksUpToDate>false</LinksUpToDate>
  <CharactersWithSpaces>1832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2022-12-20T06:27:00Z</dcterms:created>
  <dc:creator>张利栋</dc:creator>
  <cp:lastModifiedBy>周天</cp:lastModifiedBy>
  <dcterms:modified xsi:type="dcterms:W3CDTF">2025-06-24T08:11:05Z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FFBF7DE62E734F449006556E1748E49C_13</vt:lpwstr>
  </property>
  <property fmtid="{D5CDD505-2E9C-101B-9397-08002B2CF9AE}" pid="4" name="KSOTemplateDocerSaveRecord">
    <vt:lpwstr>eyJoZGlkIjoiMGEyNjVmNGZmNmQ2NGY2ZTA0NDM2MDIwMzkwMmYzZDciLCJ1c2VySWQiOiIyMzIxMDAzMDAifQ==</vt:lpwstr>
  </property>
</Properties>
</file>